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25DB7" w14:textId="77777777" w:rsidR="00B312E5" w:rsidRDefault="00374C4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32"/>
          <w:szCs w:val="32"/>
        </w:rPr>
      </w:pPr>
      <w:r>
        <w:rPr>
          <w:rFonts w:ascii="Roboto" w:eastAsia="Roboto" w:hAnsi="Roboto" w:cs="Roboto"/>
          <w:sz w:val="32"/>
          <w:szCs w:val="32"/>
        </w:rPr>
        <w:t>Příloha č.1 smlouvy - Kasárna Jičín bytový dům - SO2</w:t>
      </w:r>
    </w:p>
    <w:p w14:paraId="1EE1F8FE" w14:textId="77777777" w:rsidR="00B312E5" w:rsidRDefault="00374C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Typ nemovitosti:</w:t>
      </w:r>
      <w:r>
        <w:rPr>
          <w:rFonts w:ascii="Roboto" w:eastAsia="Roboto" w:hAnsi="Roboto" w:cs="Roboto"/>
        </w:rPr>
        <w:t xml:space="preserve"> pozemek</w:t>
      </w:r>
    </w:p>
    <w:p w14:paraId="5E19F500" w14:textId="77777777" w:rsidR="00B312E5" w:rsidRDefault="00374C4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Skupina dle Územní studie Kasárna Jičín:</w:t>
      </w:r>
      <w:r>
        <w:rPr>
          <w:rFonts w:ascii="Roboto" w:eastAsia="Roboto" w:hAnsi="Roboto" w:cs="Roboto"/>
        </w:rPr>
        <w:t xml:space="preserve"> SO2</w:t>
      </w:r>
    </w:p>
    <w:p w14:paraId="24D8DAD7" w14:textId="77777777" w:rsidR="00B312E5" w:rsidRDefault="00374C4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 xml:space="preserve">Parcelní číslo: </w:t>
      </w:r>
      <w:r>
        <w:rPr>
          <w:rFonts w:ascii="Roboto" w:eastAsia="Roboto" w:hAnsi="Roboto" w:cs="Roboto"/>
        </w:rPr>
        <w:t>1296/67</w:t>
      </w:r>
    </w:p>
    <w:p w14:paraId="2E503BC7" w14:textId="151844AB" w:rsidR="00B312E5" w:rsidRDefault="00374C4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Výměra pozemku:</w:t>
      </w:r>
      <w:r>
        <w:rPr>
          <w:rFonts w:ascii="Roboto" w:eastAsia="Roboto" w:hAnsi="Roboto" w:cs="Roboto"/>
        </w:rPr>
        <w:t xml:space="preserve"> 2557m²</w:t>
      </w:r>
    </w:p>
    <w:p w14:paraId="57121AAE" w14:textId="77777777" w:rsidR="00B312E5" w:rsidRDefault="00374C4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Prostorové a funkční využití pozemku:</w:t>
      </w:r>
      <w:r>
        <w:rPr>
          <w:rFonts w:ascii="Roboto" w:eastAsia="Roboto" w:hAnsi="Roboto" w:cs="Roboto"/>
        </w:rPr>
        <w:t xml:space="preserve"> pozemek je určen pro výstavbu bytového domu SO2 o částech A a B se společným podzemním parkovištěm, více viz SPECIFICKÁ PRAVIDLA PRO LOKALIZACI OBYTNÝCH DOMŮ NA STAVEBNÍCH POZEMCÍCH JEDNOTLIVÝCH SKUPIN uvedená na následující straně.</w:t>
      </w:r>
    </w:p>
    <w:p w14:paraId="6C9679CC" w14:textId="3CEAA242" w:rsidR="00B312E5" w:rsidRDefault="00374C4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 xml:space="preserve">Možné typy domů: </w:t>
      </w:r>
      <w:r>
        <w:rPr>
          <w:rFonts w:ascii="Roboto" w:eastAsia="Roboto" w:hAnsi="Roboto" w:cs="Roboto"/>
        </w:rPr>
        <w:t xml:space="preserve"> typ A - obestavěný prostor 3200m³ + typ B - obestavěný prostor 3104m³ + společné podzemní parkoviště, základy, podezdívky - obestavěný prostor 4817m³ více viz výňatek z Katalogu </w:t>
      </w:r>
      <w:r w:rsidR="003F5438">
        <w:rPr>
          <w:rFonts w:ascii="Roboto" w:eastAsia="Roboto" w:hAnsi="Roboto" w:cs="Roboto"/>
        </w:rPr>
        <w:t>bytov</w:t>
      </w:r>
      <w:r>
        <w:rPr>
          <w:rFonts w:ascii="Roboto" w:eastAsia="Roboto" w:hAnsi="Roboto" w:cs="Roboto"/>
        </w:rPr>
        <w:t xml:space="preserve">ých domů Kasárna Jičín na následujících stranách (kompletní Katalog </w:t>
      </w:r>
      <w:r w:rsidR="003F5438">
        <w:rPr>
          <w:rFonts w:ascii="Roboto" w:eastAsia="Roboto" w:hAnsi="Roboto" w:cs="Roboto"/>
        </w:rPr>
        <w:t>bytový</w:t>
      </w:r>
      <w:r>
        <w:rPr>
          <w:rFonts w:ascii="Roboto" w:eastAsia="Roboto" w:hAnsi="Roboto" w:cs="Roboto"/>
        </w:rPr>
        <w:t>ch domů kasárna Jičín je dostupný elektronicky pod odkazem www.kasarna.jicin.cz). Vnitřní dispozice domu má pouze informativní charakter, není závazná.</w:t>
      </w:r>
    </w:p>
    <w:p w14:paraId="63CB7939" w14:textId="77777777" w:rsidR="00B312E5" w:rsidRDefault="00374C4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6"/>
          <w:szCs w:val="16"/>
        </w:rPr>
      </w:pP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11CBCC9E" wp14:editId="5275912E">
            <wp:simplePos x="0" y="0"/>
            <wp:positionH relativeFrom="column">
              <wp:posOffset>19050</wp:posOffset>
            </wp:positionH>
            <wp:positionV relativeFrom="paragraph">
              <wp:posOffset>158750</wp:posOffset>
            </wp:positionV>
            <wp:extent cx="3048000" cy="2184400"/>
            <wp:effectExtent l="0" t="0" r="0" b="0"/>
            <wp:wrapSquare wrapText="bothSides" distT="19050" distB="19050" distL="19050" distR="19050"/>
            <wp:docPr id="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8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FF67220" w14:textId="77777777" w:rsidR="00B312E5" w:rsidRDefault="00374C4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6"/>
          <w:szCs w:val="16"/>
        </w:rPr>
      </w:pPr>
      <w:r>
        <w:rPr>
          <w:noProof/>
        </w:rPr>
        <w:drawing>
          <wp:anchor distT="19050" distB="19050" distL="19050" distR="19050" simplePos="0" relativeHeight="251659264" behindDoc="0" locked="0" layoutInCell="1" hidden="0" allowOverlap="1" wp14:anchorId="034F6C01" wp14:editId="18EF111F">
            <wp:simplePos x="0" y="0"/>
            <wp:positionH relativeFrom="column">
              <wp:posOffset>3321050</wp:posOffset>
            </wp:positionH>
            <wp:positionV relativeFrom="paragraph">
              <wp:posOffset>19050</wp:posOffset>
            </wp:positionV>
            <wp:extent cx="3048000" cy="2184400"/>
            <wp:effectExtent l="0" t="0" r="0" b="0"/>
            <wp:wrapSquare wrapText="bothSides" distT="19050" distB="19050" distL="19050" distR="19050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8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C84F71C" w14:textId="77777777" w:rsidR="00B312E5" w:rsidRDefault="00374C4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6"/>
          <w:szCs w:val="16"/>
        </w:rPr>
      </w:pPr>
      <w:r>
        <w:rPr>
          <w:rFonts w:ascii="Roboto" w:eastAsia="Roboto" w:hAnsi="Roboto" w:cs="Roboto"/>
          <w:sz w:val="16"/>
          <w:szCs w:val="16"/>
        </w:rPr>
        <w:t>situace - umístění pozemku v širších vztazích                                                   situace - rozsah předmětu prodeje</w:t>
      </w:r>
    </w:p>
    <w:p w14:paraId="1408E3F0" w14:textId="77777777" w:rsidR="00B312E5" w:rsidRDefault="00374C4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6"/>
          <w:szCs w:val="16"/>
        </w:rPr>
      </w:pPr>
      <w:r>
        <w:rPr>
          <w:noProof/>
        </w:rPr>
        <w:drawing>
          <wp:anchor distT="19050" distB="19050" distL="19050" distR="19050" simplePos="0" relativeHeight="251660288" behindDoc="0" locked="0" layoutInCell="1" hidden="0" allowOverlap="1" wp14:anchorId="267092EE" wp14:editId="47C17593">
            <wp:simplePos x="0" y="0"/>
            <wp:positionH relativeFrom="column">
              <wp:posOffset>19050</wp:posOffset>
            </wp:positionH>
            <wp:positionV relativeFrom="paragraph">
              <wp:posOffset>158750</wp:posOffset>
            </wp:positionV>
            <wp:extent cx="3048000" cy="2184400"/>
            <wp:effectExtent l="0" t="0" r="0" b="0"/>
            <wp:wrapSquare wrapText="bothSides" distT="19050" distB="19050" distL="19050" distR="19050"/>
            <wp:docPr id="5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8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41D1DEB" w14:textId="77777777" w:rsidR="00B312E5" w:rsidRDefault="00374C4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6"/>
          <w:szCs w:val="16"/>
        </w:rPr>
      </w:pPr>
      <w:r>
        <w:rPr>
          <w:noProof/>
        </w:rPr>
        <w:drawing>
          <wp:anchor distT="19050" distB="19050" distL="19050" distR="19050" simplePos="0" relativeHeight="251661312" behindDoc="0" locked="0" layoutInCell="1" hidden="0" allowOverlap="1" wp14:anchorId="63C85C52" wp14:editId="188AA06A">
            <wp:simplePos x="0" y="0"/>
            <wp:positionH relativeFrom="column">
              <wp:posOffset>3321050</wp:posOffset>
            </wp:positionH>
            <wp:positionV relativeFrom="paragraph">
              <wp:posOffset>19050</wp:posOffset>
            </wp:positionV>
            <wp:extent cx="3048000" cy="2184400"/>
            <wp:effectExtent l="0" t="0" r="0" b="0"/>
            <wp:wrapSquare wrapText="bothSides" distT="19050" distB="19050" distL="19050" distR="19050"/>
            <wp:docPr id="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8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C118EE5" w14:textId="77777777" w:rsidR="00B312E5" w:rsidRDefault="00374C4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6"/>
          <w:szCs w:val="16"/>
        </w:rPr>
      </w:pPr>
      <w:r>
        <w:rPr>
          <w:rFonts w:ascii="Roboto" w:eastAsia="Roboto" w:hAnsi="Roboto" w:cs="Roboto"/>
          <w:sz w:val="16"/>
          <w:szCs w:val="16"/>
        </w:rPr>
        <w:t>situace - napojení na dopravní a technickou infrastrukturu                              situace - regulace umístění domu na pozemku</w:t>
      </w:r>
    </w:p>
    <w:p w14:paraId="28A3CED2" w14:textId="77777777" w:rsidR="00B312E5" w:rsidRDefault="00374C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Doplňující podmínky zástavby</w:t>
      </w:r>
      <w:r>
        <w:rPr>
          <w:rFonts w:ascii="Roboto" w:eastAsia="Roboto" w:hAnsi="Roboto" w:cs="Roboto"/>
        </w:rPr>
        <w:t>:</w:t>
      </w:r>
    </w:p>
    <w:p w14:paraId="2F4209C9" w14:textId="77777777" w:rsidR="00B312E5" w:rsidRDefault="00374C4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- oplocení pozemku bude provedeno dle samostatné části přílohy - POŽADAVKY NA OPLOCENÍ, která je uvedena dále;</w:t>
      </w:r>
    </w:p>
    <w:p w14:paraId="137E200A" w14:textId="77777777" w:rsidR="00B312E5" w:rsidRDefault="00374C4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- součástí stavby obou objektů je stavba podzemního parkoviště, opěrných zídek a oplocení;</w:t>
      </w:r>
    </w:p>
    <w:p w14:paraId="689FE610" w14:textId="77777777" w:rsidR="00B312E5" w:rsidRDefault="00374C4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- v částech objektu A i B lze v rámci jednotlivých pater kombinovat byty I + kk, II + kk, III + KK, IV + KK (maximálně 24 bytů v obou částech) navržené dle katalogu bytových domů za splnění podmínky požadavků na parkovací stání dle platných právních předpisů a za podmínky zachování charakteru jednotlivých fasád.</w:t>
      </w:r>
    </w:p>
    <w:p w14:paraId="5949EA20" w14:textId="77777777" w:rsidR="00B312E5" w:rsidRDefault="00374C4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br w:type="page"/>
      </w:r>
    </w:p>
    <w:p w14:paraId="03A7A033" w14:textId="77777777" w:rsidR="00B312E5" w:rsidRDefault="00374C4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32"/>
          <w:szCs w:val="32"/>
        </w:rPr>
      </w:pPr>
      <w:r>
        <w:rPr>
          <w:rFonts w:ascii="Roboto" w:eastAsia="Roboto" w:hAnsi="Roboto" w:cs="Roboto"/>
          <w:sz w:val="32"/>
          <w:szCs w:val="32"/>
        </w:rPr>
        <w:lastRenderedPageBreak/>
        <w:t>SPECIFICKÁ PRAVIDLA PRO LOKALIZACI OBYTNÝCH DOMŮ NA STAVEBNÍCH POZEMCÍCH JEDNOTLIVÝCH SKUPIN</w:t>
      </w:r>
    </w:p>
    <w:p w14:paraId="50B97E72" w14:textId="77777777" w:rsidR="00B312E5" w:rsidRDefault="00374C4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32"/>
          <w:szCs w:val="32"/>
        </w:rPr>
      </w:pPr>
      <w:r>
        <w:rPr>
          <w:noProof/>
        </w:rPr>
        <w:drawing>
          <wp:anchor distT="19050" distB="19050" distL="19050" distR="19050" simplePos="0" relativeHeight="251662336" behindDoc="0" locked="0" layoutInCell="1" hidden="0" allowOverlap="1" wp14:anchorId="1938C832" wp14:editId="3264D6CB">
            <wp:simplePos x="0" y="0"/>
            <wp:positionH relativeFrom="column">
              <wp:posOffset>19050</wp:posOffset>
            </wp:positionH>
            <wp:positionV relativeFrom="paragraph">
              <wp:posOffset>273050</wp:posOffset>
            </wp:positionV>
            <wp:extent cx="6375400" cy="8331200"/>
            <wp:effectExtent l="0" t="0" r="0" b="0"/>
            <wp:wrapSquare wrapText="bothSides" distT="19050" distB="19050" distL="19050" distR="1905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833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734C4E9" w14:textId="77777777" w:rsidR="00B312E5" w:rsidRDefault="00374C4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32"/>
          <w:szCs w:val="32"/>
        </w:rPr>
      </w:pPr>
      <w:r>
        <w:br w:type="page"/>
      </w:r>
    </w:p>
    <w:p w14:paraId="3E731542" w14:textId="77777777" w:rsidR="00B312E5" w:rsidRDefault="00374C4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32"/>
          <w:szCs w:val="32"/>
        </w:rPr>
      </w:pPr>
      <w:r>
        <w:rPr>
          <w:rFonts w:ascii="Roboto" w:eastAsia="Roboto" w:hAnsi="Roboto" w:cs="Roboto"/>
          <w:sz w:val="32"/>
          <w:szCs w:val="32"/>
        </w:rPr>
        <w:lastRenderedPageBreak/>
        <w:t>POŽADAVKY NA OPLOCENÍ</w:t>
      </w:r>
    </w:p>
    <w:p w14:paraId="60034D22" w14:textId="77777777" w:rsidR="00B312E5" w:rsidRDefault="00374C4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Tato dokumentace stanovuje vizuální požadavky na oplocení bytových domů v lokalitě Kasárna Jičín.</w:t>
      </w:r>
    </w:p>
    <w:p w14:paraId="79B2E81E" w14:textId="77777777" w:rsidR="00B312E5" w:rsidRDefault="00374C4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              </w:t>
      </w:r>
    </w:p>
    <w:p w14:paraId="5F7FADC6" w14:textId="77777777" w:rsidR="00B312E5" w:rsidRDefault="00374C4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Oplocení bude tvořeno kombinací živých plotů a plných zídek.</w:t>
      </w:r>
    </w:p>
    <w:p w14:paraId="403A6DE8" w14:textId="77777777" w:rsidR="00B312E5" w:rsidRDefault="00374C4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- Živé ploty budou stálezelené, stříhány do výšky max. 1,2m.</w:t>
      </w:r>
    </w:p>
    <w:p w14:paraId="1C97231E" w14:textId="77777777" w:rsidR="00B312E5" w:rsidRDefault="00374C4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- Zídky budou do max. výšky 1,2m a budou monolitické z pohledového betonu.</w:t>
      </w:r>
    </w:p>
    <w:p w14:paraId="6D2AF476" w14:textId="77777777" w:rsidR="00B312E5" w:rsidRDefault="00374C4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- V místech, kde oplocení tvoří zábradlí, bude oplocení splňovat veškeré požadavky podle obecně závazných předpisů.Horní madlo bude ve výšce 1,2m. Sloupky a madlo budou z ocelových profilů s povrchovou úpravu zinkováním.Výplň bude tvořena svařovanou ocelovou sítí s povrchovou úpravou zinkováním.</w:t>
      </w:r>
    </w:p>
    <w:p w14:paraId="23F14669" w14:textId="77777777" w:rsidR="00B312E5" w:rsidRDefault="00374C4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- Branky budou tvořeny ocelovým rámem se svislou tyčovou výplní a budou osazeny do ocelových sloupků. Povrchová úprava bude zinkováním bez dalšího barevného nátěru.</w:t>
      </w:r>
    </w:p>
    <w:p w14:paraId="7A26E137" w14:textId="77777777" w:rsidR="00B312E5" w:rsidRDefault="00374C4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noProof/>
        </w:rPr>
        <w:drawing>
          <wp:anchor distT="19050" distB="19050" distL="19050" distR="19050" simplePos="0" relativeHeight="251663360" behindDoc="0" locked="0" layoutInCell="1" hidden="0" allowOverlap="1" wp14:anchorId="6190FF2A" wp14:editId="1299CACC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6375400" cy="4432300"/>
            <wp:effectExtent l="0" t="0" r="0" b="0"/>
            <wp:wrapSquare wrapText="bothSides" distT="19050" distB="19050" distL="19050" distR="19050"/>
            <wp:docPr id="4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443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09AE83A" w14:textId="77777777" w:rsidR="00B312E5" w:rsidRDefault="00B312E5"/>
    <w:sectPr w:rsidR="00B312E5">
      <w:pgSz w:w="11909" w:h="16834"/>
      <w:pgMar w:top="800" w:right="800" w:bottom="100" w:left="90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2577B779-AAB1-4D7D-A922-492D6B30A7F0}"/>
    <w:embedBold r:id="rId2" w:fontKey="{134BDC57-33DB-4E7F-8CE1-CB7694B55D3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B517BE81-4AF5-4BE5-A181-F55BA793678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D668C235-3965-4673-83FD-06CEA737998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2E5"/>
    <w:rsid w:val="00374C48"/>
    <w:rsid w:val="003F5438"/>
    <w:rsid w:val="00524922"/>
    <w:rsid w:val="00B3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10365"/>
  <w15:docId w15:val="{8B310C58-553D-473E-ACF4-E20372284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374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Stránská Monika Ing.</cp:lastModifiedBy>
  <cp:revision>3</cp:revision>
  <dcterms:created xsi:type="dcterms:W3CDTF">2026-04-02T06:20:00Z</dcterms:created>
  <dcterms:modified xsi:type="dcterms:W3CDTF">2026-04-02T07:00:00Z</dcterms:modified>
</cp:coreProperties>
</file>